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850EF" w14:textId="77777777" w:rsidR="004A3A20" w:rsidRDefault="004A3A20" w:rsidP="004A3A20">
      <w:r>
        <w:tab/>
      </w:r>
    </w:p>
    <w:p w14:paraId="23D5D63D" w14:textId="77777777" w:rsidR="004A3A20" w:rsidRDefault="004A3A20" w:rsidP="004A3A20">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b/>
          <w:sz w:val="42"/>
          <w:szCs w:val="42"/>
        </w:rPr>
      </w:pPr>
      <w:r>
        <w:rPr>
          <w:b/>
          <w:sz w:val="42"/>
          <w:szCs w:val="42"/>
        </w:rPr>
        <w:t>CESS 2025</w:t>
      </w:r>
    </w:p>
    <w:p w14:paraId="5D88ADD6" w14:textId="0734D5C8" w:rsidR="004A3A20" w:rsidRDefault="004A3A20" w:rsidP="004A3A20">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sz w:val="30"/>
          <w:szCs w:val="30"/>
        </w:rPr>
      </w:pPr>
      <w:r>
        <w:rPr>
          <w:sz w:val="30"/>
          <w:szCs w:val="30"/>
        </w:rPr>
        <w:t>Fiche d’information pour les enseignants d’histoire</w:t>
      </w:r>
    </w:p>
    <w:p w14:paraId="12FFFB8B" w14:textId="77777777" w:rsidR="004A3A20" w:rsidRDefault="004A3A20" w:rsidP="004A3A20">
      <w:r>
        <w:t xml:space="preserve">Les informations qui suivent sont extraites de la circulaire relative à l’organisation des épreuves externes menant à l’octroi du CE1D et du CESS. Vous pouvez retrouver la circulaire dans son intégralité sur </w:t>
      </w:r>
      <w:r>
        <w:rPr>
          <w:color w:val="0000FF"/>
          <w:u w:val="single"/>
        </w:rPr>
        <w:t>www.enseignement.be/cess</w:t>
      </w:r>
      <w:r>
        <w:t>, section « cadre légal ».</w:t>
      </w:r>
    </w:p>
    <w:p w14:paraId="0161B148" w14:textId="77777777" w:rsidR="004A3A20" w:rsidRDefault="004A3A20" w:rsidP="004A3A20">
      <w:pPr>
        <w:pStyle w:val="Titre1"/>
      </w:pPr>
      <w:r>
        <w:t>Planning</w:t>
      </w:r>
    </w:p>
    <w:tbl>
      <w:tblPr>
        <w:tblStyle w:val="Grilledutableau"/>
        <w:tblpPr w:leftFromText="141" w:rightFromText="141" w:vertAnchor="text" w:tblpY="1"/>
        <w:tblOverlap w:val="never"/>
        <w:tblW w:w="0" w:type="auto"/>
        <w:tblLook w:val="04A0" w:firstRow="1" w:lastRow="0" w:firstColumn="1" w:lastColumn="0" w:noHBand="0" w:noVBand="1"/>
      </w:tblPr>
      <w:tblGrid>
        <w:gridCol w:w="993"/>
        <w:gridCol w:w="850"/>
        <w:gridCol w:w="1843"/>
        <w:gridCol w:w="1843"/>
      </w:tblGrid>
      <w:tr w:rsidR="004A3A20" w14:paraId="1E4BD6DB" w14:textId="77777777" w:rsidTr="00B94AF8">
        <w:trPr>
          <w:cantSplit/>
          <w:trHeight w:val="370"/>
        </w:trPr>
        <w:tc>
          <w:tcPr>
            <w:tcW w:w="993" w:type="dxa"/>
            <w:tcBorders>
              <w:top w:val="nil"/>
              <w:left w:val="nil"/>
              <w:right w:val="nil"/>
            </w:tcBorders>
          </w:tcPr>
          <w:p w14:paraId="1BDAC9F6" w14:textId="77777777" w:rsidR="004A3A20" w:rsidRDefault="004A3A20" w:rsidP="00B94AF8"/>
        </w:tc>
        <w:tc>
          <w:tcPr>
            <w:tcW w:w="850" w:type="dxa"/>
            <w:tcBorders>
              <w:top w:val="nil"/>
              <w:left w:val="nil"/>
              <w:bottom w:val="single" w:sz="4" w:space="0" w:color="auto"/>
              <w:right w:val="nil"/>
            </w:tcBorders>
            <w:shd w:val="clear" w:color="auto" w:fill="auto"/>
          </w:tcPr>
          <w:p w14:paraId="33829BB1" w14:textId="77777777" w:rsidR="004A3A20" w:rsidRDefault="004A3A20" w:rsidP="00B94AF8"/>
        </w:tc>
        <w:tc>
          <w:tcPr>
            <w:tcW w:w="1843" w:type="dxa"/>
            <w:shd w:val="clear" w:color="auto" w:fill="808080" w:themeFill="background1" w:themeFillShade="80"/>
            <w:vAlign w:val="center"/>
          </w:tcPr>
          <w:p w14:paraId="349B928E" w14:textId="77777777" w:rsidR="004A3A20" w:rsidRDefault="004A3A20" w:rsidP="00B94AF8">
            <w:pPr>
              <w:spacing w:before="120"/>
              <w:jc w:val="center"/>
              <w:rPr>
                <w:color w:val="FFFFFF" w:themeColor="background1"/>
              </w:rPr>
            </w:pPr>
            <w:r>
              <w:rPr>
                <w:color w:val="FFFFFF" w:themeColor="background1"/>
              </w:rPr>
              <w:t>Vendredi 20/06</w:t>
            </w:r>
          </w:p>
        </w:tc>
        <w:tc>
          <w:tcPr>
            <w:tcW w:w="1843" w:type="dxa"/>
            <w:shd w:val="clear" w:color="auto" w:fill="808080" w:themeFill="background1" w:themeFillShade="80"/>
          </w:tcPr>
          <w:p w14:paraId="4F522B16" w14:textId="77777777" w:rsidR="004A3A20" w:rsidRDefault="004A3A20" w:rsidP="00B94AF8">
            <w:pPr>
              <w:spacing w:before="120"/>
              <w:jc w:val="center"/>
              <w:rPr>
                <w:color w:val="FFFFFF" w:themeColor="background1"/>
              </w:rPr>
            </w:pPr>
            <w:r>
              <w:rPr>
                <w:color w:val="FFFFFF" w:themeColor="background1"/>
              </w:rPr>
              <w:t>Lundi 23/06</w:t>
            </w:r>
          </w:p>
        </w:tc>
      </w:tr>
      <w:tr w:rsidR="004A3A20" w14:paraId="6C950995" w14:textId="77777777" w:rsidTr="00B94AF8">
        <w:trPr>
          <w:cantSplit/>
          <w:trHeight w:val="476"/>
        </w:trPr>
        <w:tc>
          <w:tcPr>
            <w:tcW w:w="993" w:type="dxa"/>
            <w:vMerge w:val="restart"/>
            <w:vAlign w:val="center"/>
          </w:tcPr>
          <w:p w14:paraId="5E7E41E9" w14:textId="77777777" w:rsidR="004A3A20" w:rsidRDefault="004A3A20" w:rsidP="00B94AF8">
            <w:pPr>
              <w:rPr>
                <w:highlight w:val="yellow"/>
              </w:rPr>
            </w:pPr>
            <w:r>
              <w:t>Matinée</w:t>
            </w:r>
          </w:p>
        </w:tc>
        <w:tc>
          <w:tcPr>
            <w:tcW w:w="850" w:type="dxa"/>
            <w:tcBorders>
              <w:top w:val="single" w:sz="4" w:space="0" w:color="auto"/>
              <w:bottom w:val="single" w:sz="4" w:space="0" w:color="auto"/>
            </w:tcBorders>
            <w:vAlign w:val="center"/>
          </w:tcPr>
          <w:p w14:paraId="2CB363E2" w14:textId="77777777" w:rsidR="004A3A20" w:rsidRDefault="004A3A20" w:rsidP="00B94AF8">
            <w:pPr>
              <w:spacing w:before="120"/>
            </w:pPr>
            <w:r>
              <w:t>50 min</w:t>
            </w:r>
          </w:p>
        </w:tc>
        <w:tc>
          <w:tcPr>
            <w:tcW w:w="1843" w:type="dxa"/>
            <w:vMerge w:val="restart"/>
            <w:vAlign w:val="center"/>
          </w:tcPr>
          <w:p w14:paraId="790B9F94" w14:textId="77777777" w:rsidR="004A3A20" w:rsidRDefault="004A3A20" w:rsidP="00B94AF8">
            <w:pPr>
              <w:jc w:val="center"/>
            </w:pPr>
            <w:r>
              <w:t>Histoire</w:t>
            </w:r>
          </w:p>
        </w:tc>
        <w:tc>
          <w:tcPr>
            <w:tcW w:w="1843" w:type="dxa"/>
            <w:vMerge w:val="restart"/>
            <w:vAlign w:val="center"/>
          </w:tcPr>
          <w:p w14:paraId="4DF5DFBC" w14:textId="77777777" w:rsidR="004A3A20" w:rsidRDefault="004A3A20" w:rsidP="00B94AF8">
            <w:pPr>
              <w:jc w:val="center"/>
            </w:pPr>
            <w:r>
              <w:t>Français</w:t>
            </w:r>
          </w:p>
        </w:tc>
      </w:tr>
      <w:tr w:rsidR="004A3A20" w14:paraId="213AAFD9" w14:textId="77777777" w:rsidTr="00B94AF8">
        <w:trPr>
          <w:cantSplit/>
          <w:trHeight w:val="285"/>
        </w:trPr>
        <w:tc>
          <w:tcPr>
            <w:tcW w:w="993" w:type="dxa"/>
            <w:vMerge/>
            <w:vAlign w:val="center"/>
          </w:tcPr>
          <w:p w14:paraId="2C9D949D" w14:textId="77777777" w:rsidR="004A3A20" w:rsidRDefault="004A3A20" w:rsidP="00B94AF8"/>
        </w:tc>
        <w:tc>
          <w:tcPr>
            <w:tcW w:w="850" w:type="dxa"/>
            <w:tcBorders>
              <w:top w:val="single" w:sz="4" w:space="0" w:color="auto"/>
              <w:bottom w:val="single" w:sz="4" w:space="0" w:color="auto"/>
            </w:tcBorders>
            <w:vAlign w:val="center"/>
          </w:tcPr>
          <w:p w14:paraId="345B0BB3" w14:textId="77777777" w:rsidR="004A3A20" w:rsidRDefault="004A3A20" w:rsidP="00B94AF8">
            <w:pPr>
              <w:spacing w:before="120"/>
            </w:pPr>
            <w:r>
              <w:t>50 min</w:t>
            </w:r>
          </w:p>
        </w:tc>
        <w:tc>
          <w:tcPr>
            <w:tcW w:w="1843" w:type="dxa"/>
            <w:vMerge/>
          </w:tcPr>
          <w:p w14:paraId="23DCA281" w14:textId="77777777" w:rsidR="004A3A20" w:rsidRDefault="004A3A20" w:rsidP="00B94AF8">
            <w:pPr>
              <w:jc w:val="center"/>
            </w:pPr>
          </w:p>
        </w:tc>
        <w:tc>
          <w:tcPr>
            <w:tcW w:w="1843" w:type="dxa"/>
            <w:vMerge/>
          </w:tcPr>
          <w:p w14:paraId="6252E57C" w14:textId="77777777" w:rsidR="004A3A20" w:rsidRDefault="004A3A20" w:rsidP="00B94AF8">
            <w:pPr>
              <w:jc w:val="center"/>
            </w:pPr>
          </w:p>
        </w:tc>
      </w:tr>
      <w:tr w:rsidR="004A3A20" w14:paraId="3A6C593B" w14:textId="77777777" w:rsidTr="00B94AF8">
        <w:trPr>
          <w:cantSplit/>
          <w:trHeight w:val="249"/>
        </w:trPr>
        <w:tc>
          <w:tcPr>
            <w:tcW w:w="993" w:type="dxa"/>
            <w:vMerge/>
            <w:vAlign w:val="center"/>
          </w:tcPr>
          <w:p w14:paraId="6378DD97" w14:textId="77777777" w:rsidR="004A3A20" w:rsidRDefault="004A3A20" w:rsidP="00B94AF8"/>
        </w:tc>
        <w:tc>
          <w:tcPr>
            <w:tcW w:w="850" w:type="dxa"/>
            <w:tcBorders>
              <w:top w:val="single" w:sz="4" w:space="0" w:color="auto"/>
              <w:bottom w:val="single" w:sz="4" w:space="0" w:color="auto"/>
            </w:tcBorders>
            <w:vAlign w:val="center"/>
          </w:tcPr>
          <w:p w14:paraId="2ED9C7D1" w14:textId="77777777" w:rsidR="004A3A20" w:rsidRDefault="004A3A20" w:rsidP="00B94AF8">
            <w:pPr>
              <w:spacing w:before="120"/>
            </w:pPr>
            <w:r>
              <w:t>50 min</w:t>
            </w:r>
          </w:p>
        </w:tc>
        <w:tc>
          <w:tcPr>
            <w:tcW w:w="1843" w:type="dxa"/>
            <w:vMerge w:val="restart"/>
            <w:shd w:val="clear" w:color="auto" w:fill="E7E6E6" w:themeFill="background2"/>
            <w:vAlign w:val="center"/>
          </w:tcPr>
          <w:p w14:paraId="73D36E38" w14:textId="77777777" w:rsidR="004A3A20" w:rsidRDefault="004A3A20" w:rsidP="00B94AF8">
            <w:pPr>
              <w:jc w:val="center"/>
            </w:pPr>
          </w:p>
        </w:tc>
        <w:tc>
          <w:tcPr>
            <w:tcW w:w="1843" w:type="dxa"/>
            <w:vMerge/>
            <w:shd w:val="clear" w:color="auto" w:fill="E7E6E6" w:themeFill="background2"/>
          </w:tcPr>
          <w:p w14:paraId="11385D9F" w14:textId="77777777" w:rsidR="004A3A20" w:rsidRDefault="004A3A20" w:rsidP="00B94AF8">
            <w:pPr>
              <w:jc w:val="center"/>
            </w:pPr>
          </w:p>
        </w:tc>
      </w:tr>
      <w:tr w:rsidR="004A3A20" w14:paraId="74F4663F" w14:textId="77777777" w:rsidTr="00B94AF8">
        <w:trPr>
          <w:cantSplit/>
          <w:trHeight w:val="178"/>
        </w:trPr>
        <w:tc>
          <w:tcPr>
            <w:tcW w:w="993" w:type="dxa"/>
            <w:vMerge/>
            <w:vAlign w:val="center"/>
          </w:tcPr>
          <w:p w14:paraId="69A7F650" w14:textId="77777777" w:rsidR="004A3A20" w:rsidRDefault="004A3A20" w:rsidP="00B94AF8"/>
        </w:tc>
        <w:tc>
          <w:tcPr>
            <w:tcW w:w="850" w:type="dxa"/>
            <w:tcBorders>
              <w:top w:val="single" w:sz="4" w:space="0" w:color="auto"/>
            </w:tcBorders>
            <w:vAlign w:val="center"/>
          </w:tcPr>
          <w:p w14:paraId="6BA138A5" w14:textId="77777777" w:rsidR="004A3A20" w:rsidRDefault="004A3A20" w:rsidP="00B94AF8">
            <w:pPr>
              <w:spacing w:before="120"/>
            </w:pPr>
            <w:r>
              <w:t>50 min</w:t>
            </w:r>
          </w:p>
        </w:tc>
        <w:tc>
          <w:tcPr>
            <w:tcW w:w="1843" w:type="dxa"/>
            <w:vMerge/>
            <w:shd w:val="clear" w:color="auto" w:fill="E7E6E6" w:themeFill="background2"/>
          </w:tcPr>
          <w:p w14:paraId="23070D20" w14:textId="77777777" w:rsidR="004A3A20" w:rsidRDefault="004A3A20" w:rsidP="00B94AF8"/>
        </w:tc>
        <w:tc>
          <w:tcPr>
            <w:tcW w:w="1843" w:type="dxa"/>
            <w:vMerge/>
            <w:shd w:val="clear" w:color="auto" w:fill="E7E6E6" w:themeFill="background2"/>
          </w:tcPr>
          <w:p w14:paraId="608F4FC7" w14:textId="77777777" w:rsidR="004A3A20" w:rsidRDefault="004A3A20" w:rsidP="00B94AF8"/>
        </w:tc>
      </w:tr>
    </w:tbl>
    <w:p w14:paraId="5F0380BC" w14:textId="77777777" w:rsidR="004A3A20" w:rsidRDefault="004A3A20" w:rsidP="004A3A20">
      <w:r>
        <w:br w:type="textWrapping" w:clear="all"/>
      </w:r>
    </w:p>
    <w:p w14:paraId="246EA442" w14:textId="77777777" w:rsidR="004A3A20" w:rsidRDefault="004A3A20" w:rsidP="004A3A20">
      <w:r>
        <w:t xml:space="preserve">L’épreuve commence entre 8 h 15 et 8 h 45. </w:t>
      </w:r>
    </w:p>
    <w:p w14:paraId="43A04A66" w14:textId="187AA360" w:rsidR="004A3A20" w:rsidRDefault="004A3A20" w:rsidP="004A3A20">
      <w:r>
        <w:t xml:space="preserve">La durée de passation de l’épreuve d’histoire a été fixée à 100 minutes effectives. </w:t>
      </w:r>
    </w:p>
    <w:p w14:paraId="7752FD66" w14:textId="3DDCA519" w:rsidR="004A3A20" w:rsidRDefault="004A3A20" w:rsidP="004A3A20">
      <w:pPr>
        <w:pStyle w:val="Titre1"/>
      </w:pPr>
      <w:r>
        <w:t>Contenu et informations spécifiques à l’épreuve d’histoire</w:t>
      </w:r>
    </w:p>
    <w:p w14:paraId="05E3B9F5" w14:textId="3A8BECD4" w:rsidR="004A3A20" w:rsidRDefault="004A3A20" w:rsidP="004A3A20">
      <w:pPr>
        <w:rPr>
          <w:rFonts w:cstheme="minorHAnsi"/>
          <w:strike/>
        </w:rPr>
      </w:pPr>
      <w:r>
        <w:t xml:space="preserve">L’épreuve évaluera la compétence de critique (compétence 2). </w:t>
      </w:r>
      <w:r>
        <w:rPr>
          <w:rFonts w:cstheme="minorHAnsi"/>
        </w:rPr>
        <w:t>La thématique de l’épreuve sera en lien avec l’exploration spatiale dans la deuxième moitié du XX</w:t>
      </w:r>
      <w:r w:rsidRPr="008B4EE2">
        <w:rPr>
          <w:rFonts w:cstheme="minorHAnsi"/>
          <w:vertAlign w:val="superscript"/>
        </w:rPr>
        <w:t>e</w:t>
      </w:r>
      <w:r>
        <w:rPr>
          <w:rFonts w:cstheme="minorHAnsi"/>
        </w:rPr>
        <w:t xml:space="preserve"> siècle. </w:t>
      </w:r>
      <w:r>
        <w:t>La compréhension du portefeuille documentaire et de la question de recherche nécessitera la mobilisation de savoirs conceptuels et contextuels en lien avec la thématique.</w:t>
      </w:r>
    </w:p>
    <w:p w14:paraId="66DFCC8B" w14:textId="77777777" w:rsidR="00A03158" w:rsidRDefault="004A3A20" w:rsidP="004A3A20">
      <w:r>
        <w:t>Chaque élève sera autorisé à disposer d’un dictionnaire (les dictionnaires comportant une section « noms propres » sont autorisés) et de feuilles de brouillon.</w:t>
      </w:r>
    </w:p>
    <w:p w14:paraId="668A6FD6" w14:textId="571206FB" w:rsidR="004A3A20" w:rsidRDefault="004A3A20" w:rsidP="004A3A20">
      <w:r>
        <w:t>Des exemples d’épreuves antérieures évaluant la compétence de critique (celles de 2010, 2011, 2012, 2016</w:t>
      </w:r>
      <w:r w:rsidR="00A03158">
        <w:t xml:space="preserve">, </w:t>
      </w:r>
      <w:r>
        <w:t>2017</w:t>
      </w:r>
      <w:r w:rsidR="00A31D9E">
        <w:t xml:space="preserve">, </w:t>
      </w:r>
      <w:r>
        <w:t>2023</w:t>
      </w:r>
      <w:r w:rsidR="00A31D9E">
        <w:t xml:space="preserve"> et 2024</w:t>
      </w:r>
      <w:r>
        <w:t xml:space="preserve">) et des matériaux complémentaires sont consultables sur le site </w:t>
      </w:r>
      <w:hyperlink r:id="rId7" w:history="1">
        <w:r w:rsidRPr="003A5298">
          <w:rPr>
            <w:rStyle w:val="Lienhypertexte"/>
          </w:rPr>
          <w:t>www.enseignement.be/cess</w:t>
        </w:r>
      </w:hyperlink>
      <w:r>
        <w:t xml:space="preserve"> (onglet « histoire »).</w:t>
      </w:r>
    </w:p>
    <w:tbl>
      <w:tblPr>
        <w:tblStyle w:val="Grilledutableau1"/>
        <w:tblW w:w="4983"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1560"/>
        <w:gridCol w:w="8056"/>
      </w:tblGrid>
      <w:tr w:rsidR="004A3A20" w14:paraId="58BE70D9" w14:textId="77777777" w:rsidTr="00B94AF8">
        <w:trPr>
          <w:trHeight w:val="1191"/>
        </w:trPr>
        <w:tc>
          <w:tcPr>
            <w:tcW w:w="811" w:type="pct"/>
            <w:shd w:val="clear" w:color="auto" w:fill="FFFFFF" w:themeFill="background1"/>
            <w:vAlign w:val="bottom"/>
          </w:tcPr>
          <w:p w14:paraId="67F142B3" w14:textId="77777777" w:rsidR="004A3A20" w:rsidRDefault="004A3A20" w:rsidP="00B94AF8">
            <w:r>
              <w:rPr>
                <w:noProof/>
                <w:lang w:eastAsia="fr-BE"/>
              </w:rPr>
              <w:drawing>
                <wp:inline distT="0" distB="0" distL="0" distR="0" wp14:anchorId="06197D4C" wp14:editId="1AE87167">
                  <wp:extent cx="712470" cy="71247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2470" cy="712470"/>
                          </a:xfrm>
                          <a:prstGeom prst="rect">
                            <a:avLst/>
                          </a:prstGeom>
                        </pic:spPr>
                      </pic:pic>
                    </a:graphicData>
                  </a:graphic>
                </wp:inline>
              </w:drawing>
            </w:r>
          </w:p>
        </w:tc>
        <w:tc>
          <w:tcPr>
            <w:tcW w:w="4189" w:type="pct"/>
            <w:shd w:val="clear" w:color="auto" w:fill="FFFFFF" w:themeFill="background1"/>
            <w:vAlign w:val="center"/>
          </w:tcPr>
          <w:p w14:paraId="2D98C4B0" w14:textId="4E884616" w:rsidR="004A3A20" w:rsidRDefault="004A3A20" w:rsidP="00B94AF8">
            <w:r>
              <w:t>P</w:t>
            </w:r>
            <w:r>
              <w:rPr>
                <w:rFonts w:cstheme="minorHAnsi"/>
              </w:rPr>
              <w:t xml:space="preserve">ar rapport aux épreuves précédentes, la consigne adressée aux élèves, les critères d’évaluation et la pondération de l’épreuve de juin 2025 diffèrent légèrement. </w:t>
            </w:r>
          </w:p>
        </w:tc>
      </w:tr>
      <w:tr w:rsidR="004A3A20" w14:paraId="0E249EA4" w14:textId="77777777" w:rsidTr="00B94AF8">
        <w:trPr>
          <w:trHeight w:val="864"/>
        </w:trPr>
        <w:tc>
          <w:tcPr>
            <w:tcW w:w="5000" w:type="pct"/>
            <w:gridSpan w:val="2"/>
            <w:shd w:val="clear" w:color="auto" w:fill="FFFFFF" w:themeFill="background1"/>
            <w:vAlign w:val="bottom"/>
          </w:tcPr>
          <w:p w14:paraId="1CFC17AA" w14:textId="77777777" w:rsidR="004A3A20" w:rsidRDefault="004A3A20" w:rsidP="00B94AF8">
            <w:pPr>
              <w:spacing w:before="120"/>
              <w:rPr>
                <w:rFonts w:cs="Calibri"/>
                <w:b/>
              </w:rPr>
            </w:pPr>
            <w:r>
              <w:rPr>
                <w:rFonts w:cstheme="minorHAnsi"/>
              </w:rPr>
              <w:t xml:space="preserve">Une </w:t>
            </w:r>
            <w:r>
              <w:rPr>
                <w:rFonts w:cstheme="minorHAnsi"/>
                <w:b/>
              </w:rPr>
              <w:t>note plus détaillée sur ces modifications</w:t>
            </w:r>
            <w:r>
              <w:rPr>
                <w:rFonts w:cstheme="minorHAnsi"/>
              </w:rPr>
              <w:t>, comprenant un exemple de consigne, figure sur le site</w:t>
            </w:r>
            <w:r>
              <w:rPr>
                <w:rFonts w:cstheme="minorHAnsi"/>
                <w:b/>
              </w:rPr>
              <w:t xml:space="preserve"> </w:t>
            </w:r>
            <w:hyperlink r:id="rId9" w:history="1">
              <w:r>
                <w:rPr>
                  <w:rFonts w:cstheme="minorHAnsi"/>
                  <w:color w:val="0000FF"/>
                  <w:u w:val="single"/>
                </w:rPr>
                <w:t>www.enseignement.be/cess</w:t>
              </w:r>
            </w:hyperlink>
            <w:r>
              <w:rPr>
                <w:rFonts w:cstheme="minorHAnsi"/>
                <w:b/>
              </w:rPr>
              <w:t xml:space="preserve"> </w:t>
            </w:r>
            <w:r>
              <w:rPr>
                <w:rFonts w:cstheme="minorHAnsi"/>
              </w:rPr>
              <w:t>(onglet « histoire »).</w:t>
            </w:r>
          </w:p>
        </w:tc>
      </w:tr>
    </w:tbl>
    <w:p w14:paraId="5A6245E3" w14:textId="77777777" w:rsidR="004A3A20" w:rsidRDefault="004A3A20" w:rsidP="004A3A20">
      <w:pPr>
        <w:pStyle w:val="Titre1"/>
      </w:pPr>
      <w:r>
        <w:lastRenderedPageBreak/>
        <w:t>Documents pour les enseignants</w:t>
      </w:r>
    </w:p>
    <w:p w14:paraId="07200749" w14:textId="77777777" w:rsidR="004A3A20" w:rsidRDefault="004A3A20" w:rsidP="004A3A20">
      <w:pPr>
        <w:rPr>
          <w:color w:val="FF0000"/>
        </w:rPr>
      </w:pPr>
      <w:r>
        <w:t xml:space="preserve">La direction vous transmettra : </w:t>
      </w:r>
    </w:p>
    <w:p w14:paraId="72C42B9F" w14:textId="04E3373B" w:rsidR="004A3A20" w:rsidRDefault="004A3A20" w:rsidP="004A3A20">
      <w:pPr>
        <w:pStyle w:val="Paragraphedeliste"/>
        <w:numPr>
          <w:ilvl w:val="0"/>
          <w:numId w:val="1"/>
        </w:numPr>
        <w:rPr>
          <w:rFonts w:eastAsia="Calibri"/>
        </w:rPr>
      </w:pPr>
      <w:proofErr w:type="gramStart"/>
      <w:r>
        <w:rPr>
          <w:rFonts w:eastAsia="Calibri"/>
          <w:b/>
        </w:rPr>
        <w:t>le</w:t>
      </w:r>
      <w:proofErr w:type="gramEnd"/>
      <w:r>
        <w:rPr>
          <w:rFonts w:eastAsia="Calibri"/>
          <w:b/>
        </w:rPr>
        <w:t xml:space="preserve"> 16 juin 2025 </w:t>
      </w:r>
      <w:r>
        <w:rPr>
          <w:rFonts w:eastAsia="Calibri"/>
        </w:rPr>
        <w:t>: le</w:t>
      </w:r>
      <w:r>
        <w:rPr>
          <w:rFonts w:eastAsia="Calibri"/>
          <w:b/>
        </w:rPr>
        <w:t xml:space="preserve"> guide de passation</w:t>
      </w:r>
      <w:r>
        <w:rPr>
          <w:rFonts w:eastAsia="Calibri"/>
        </w:rPr>
        <w:t>, qui contient toutes les informations nécessaires à la passation de l’épreuve d’histoire ;</w:t>
      </w:r>
    </w:p>
    <w:p w14:paraId="6ACA6420" w14:textId="42C535B9" w:rsidR="004A3A20" w:rsidRDefault="004A3A20" w:rsidP="004A3A20">
      <w:pPr>
        <w:pStyle w:val="Paragraphedeliste"/>
        <w:numPr>
          <w:ilvl w:val="0"/>
          <w:numId w:val="1"/>
        </w:numPr>
        <w:rPr>
          <w:rFonts w:eastAsia="Calibri"/>
        </w:rPr>
      </w:pPr>
      <w:proofErr w:type="gramStart"/>
      <w:r>
        <w:rPr>
          <w:rFonts w:eastAsia="Calibri"/>
          <w:b/>
        </w:rPr>
        <w:t>le</w:t>
      </w:r>
      <w:proofErr w:type="gramEnd"/>
      <w:r>
        <w:rPr>
          <w:rFonts w:eastAsia="Calibri"/>
          <w:b/>
        </w:rPr>
        <w:t xml:space="preserve"> matin de l’épreuve à 7 h</w:t>
      </w:r>
      <w:r>
        <w:rPr>
          <w:rFonts w:eastAsia="Calibri"/>
        </w:rPr>
        <w:t>,</w:t>
      </w:r>
      <w:r>
        <w:rPr>
          <w:rFonts w:eastAsia="Calibri"/>
          <w:b/>
        </w:rPr>
        <w:t xml:space="preserve"> </w:t>
      </w:r>
      <w:r>
        <w:rPr>
          <w:rFonts w:eastAsia="Calibri"/>
        </w:rPr>
        <w:t xml:space="preserve">le fichier PDF de la version 2 (Arial 14) électronique ; </w:t>
      </w:r>
    </w:p>
    <w:p w14:paraId="71701915" w14:textId="5ED03B2D" w:rsidR="004A3A20" w:rsidRDefault="004A3A20" w:rsidP="004A3A20">
      <w:pPr>
        <w:pStyle w:val="Paragraphedeliste"/>
        <w:numPr>
          <w:ilvl w:val="0"/>
          <w:numId w:val="1"/>
        </w:numPr>
        <w:rPr>
          <w:rFonts w:eastAsia="Calibri"/>
        </w:rPr>
      </w:pPr>
      <w:proofErr w:type="gramStart"/>
      <w:r>
        <w:rPr>
          <w:rFonts w:eastAsia="Calibri"/>
          <w:b/>
        </w:rPr>
        <w:t>le</w:t>
      </w:r>
      <w:proofErr w:type="gramEnd"/>
      <w:r>
        <w:rPr>
          <w:rFonts w:eastAsia="Calibri"/>
          <w:b/>
        </w:rPr>
        <w:t xml:space="preserve"> jour de l’épreuve à 10 h 30</w:t>
      </w:r>
      <w:r>
        <w:rPr>
          <w:rFonts w:eastAsia="Calibri"/>
        </w:rPr>
        <w:t xml:space="preserve">, le </w:t>
      </w:r>
      <w:r>
        <w:rPr>
          <w:rFonts w:eastAsia="Calibri"/>
          <w:b/>
        </w:rPr>
        <w:t>guide de correction</w:t>
      </w:r>
      <w:r>
        <w:rPr>
          <w:rFonts w:eastAsia="Calibri"/>
        </w:rPr>
        <w:t>, qui contient les instructions de correction des copies, d’encodage des points et de transmission des résultats.</w:t>
      </w:r>
    </w:p>
    <w:p w14:paraId="747F2566" w14:textId="77777777" w:rsidR="004A3A20" w:rsidRDefault="004A3A20" w:rsidP="004A3A20">
      <w:r>
        <w:t xml:space="preserve">Ces documents restent </w:t>
      </w:r>
      <w:r>
        <w:rPr>
          <w:b/>
        </w:rPr>
        <w:t>confidentiels</w:t>
      </w:r>
      <w:r>
        <w:t xml:space="preserve"> jusqu’à la passation de l’épreuve.</w:t>
      </w:r>
    </w:p>
    <w:p w14:paraId="4CCAB41D" w14:textId="77777777" w:rsidR="004A3A20" w:rsidRDefault="004A3A20" w:rsidP="004A3A20">
      <w:pPr>
        <w:pStyle w:val="Titre1"/>
      </w:pPr>
      <w:bookmarkStart w:id="0" w:name="_Ref95391323"/>
      <w:r>
        <w:t>Modalités de réussite</w:t>
      </w:r>
      <w:bookmarkEnd w:id="0"/>
    </w:p>
    <w:p w14:paraId="176C9255" w14:textId="77777777" w:rsidR="004A3A20" w:rsidRDefault="004A3A20" w:rsidP="004A3A20">
      <w:r>
        <w:t>Le seuil de réussite est fixé à 50 % des points.</w:t>
      </w:r>
    </w:p>
    <w:p w14:paraId="3B367988" w14:textId="5341AD75" w:rsidR="004A3A20" w:rsidRDefault="004A3A20" w:rsidP="004A3A20">
      <w:r>
        <w:t>La décision d’octroi du certificat d’enseignement secondaire supérieur à l’élève est basée sur les résultats obtenus à l’épreuve externe pour ce qui concerne la compétence ciblée dans la discipline évaluée, et les résultats aux évaluations internes pour ce qui concerne les autres compétences relatives à cette discipline.</w:t>
      </w:r>
    </w:p>
    <w:p w14:paraId="33E12827" w14:textId="5173DE8D" w:rsidR="004A3A20" w:rsidRDefault="004A3A20" w:rsidP="004A3A20">
      <w:r>
        <w:t>La pondération de</w:t>
      </w:r>
      <w:r w:rsidR="00A03158">
        <w:t xml:space="preserve"> la </w:t>
      </w:r>
      <w:r>
        <w:t>compétence visée par l</w:t>
      </w:r>
      <w:r w:rsidR="00A03158">
        <w:t>’</w:t>
      </w:r>
      <w:r>
        <w:t>épreuve externe par rapport aux autres compétences est laissée à l’appréciation du conseil de classe.</w:t>
      </w:r>
    </w:p>
    <w:p w14:paraId="5FCE4086" w14:textId="4D993CC1" w:rsidR="004A3A20" w:rsidRDefault="004A3A20" w:rsidP="004A3A20">
      <w:r>
        <w:t xml:space="preserve">En cas de réussite à une épreuve externe, le conseil de classe considère que l’élève a atteint la maitrise de la compétence visée dans la discipline concernée. </w:t>
      </w:r>
    </w:p>
    <w:p w14:paraId="068E4527" w14:textId="0369BB24" w:rsidR="004A3A20" w:rsidRDefault="004A3A20" w:rsidP="004A3A20">
      <w:r>
        <w:t xml:space="preserve">Le conseil de classe peut estimer que l’élève qui n’a pas satisfait ou qui n’a pas pu participer en tout ou en partie aux épreuves externes communes certificatives maitrise la compétence attendue pour autant que l’absence ou les absences soient justifiées. Le conseil de classe prend en compte les besoins spécifiques de l’élève comme expliqué ci-dessous. </w:t>
      </w:r>
    </w:p>
    <w:p w14:paraId="1AFF8EEF" w14:textId="77777777" w:rsidR="004A3A20" w:rsidRDefault="004A3A20" w:rsidP="004A3A20">
      <w:pPr>
        <w:rPr>
          <w:highlight w:val="yellow"/>
        </w:rPr>
      </w:pPr>
      <w:r>
        <w:t>Le conseil de classe fonde alors sa décision sur un dossier comportant :</w:t>
      </w:r>
    </w:p>
    <w:p w14:paraId="591B2F47" w14:textId="652DA0C3" w:rsidR="004A3A20" w:rsidRDefault="004A3A20" w:rsidP="004A3A20">
      <w:pPr>
        <w:pStyle w:val="Paragraphedeliste"/>
        <w:numPr>
          <w:ilvl w:val="0"/>
          <w:numId w:val="1"/>
        </w:numPr>
      </w:pPr>
      <w:proofErr w:type="gramStart"/>
      <w:r>
        <w:t>la</w:t>
      </w:r>
      <w:proofErr w:type="gramEnd"/>
      <w:r>
        <w:t xml:space="preserve"> copie des bulletins des deux années suivies au 3</w:t>
      </w:r>
      <w:r>
        <w:rPr>
          <w:vertAlign w:val="superscript"/>
        </w:rPr>
        <w:t>e</w:t>
      </w:r>
      <w:r>
        <w:t xml:space="preserve"> degré. </w:t>
      </w:r>
      <w:proofErr w:type="gramStart"/>
      <w:r>
        <w:t>Lorsqu’un élève fréquente</w:t>
      </w:r>
      <w:proofErr w:type="gramEnd"/>
      <w:r>
        <w:t xml:space="preserve"> l’enseignement secondaire organisé par Wallonie-Bruxelles Enseignement ou subventionné par la Communauté française, depuis moins de deux années scolaires, la copie des bulletins d’une seule année scolaire peut suffire ;</w:t>
      </w:r>
    </w:p>
    <w:p w14:paraId="02F1A970" w14:textId="77777777" w:rsidR="004A3A20" w:rsidRDefault="004A3A20" w:rsidP="004A3A20">
      <w:pPr>
        <w:pStyle w:val="Paragraphedeliste"/>
        <w:numPr>
          <w:ilvl w:val="0"/>
          <w:numId w:val="1"/>
        </w:numPr>
      </w:pPr>
      <w:proofErr w:type="gramStart"/>
      <w:r>
        <w:t>l’avis</w:t>
      </w:r>
      <w:proofErr w:type="gramEnd"/>
      <w:r>
        <w:t xml:space="preserve"> des enseignant(s) titulaire(s) dans la ou les discipline(s) concernée(s) ;</w:t>
      </w:r>
    </w:p>
    <w:p w14:paraId="0BFDDDB8" w14:textId="77777777" w:rsidR="004A3A20" w:rsidRDefault="004A3A20" w:rsidP="004A3A20">
      <w:pPr>
        <w:pStyle w:val="Paragraphedeliste"/>
        <w:numPr>
          <w:ilvl w:val="0"/>
          <w:numId w:val="1"/>
        </w:numPr>
      </w:pPr>
      <w:proofErr w:type="gramStart"/>
      <w:r>
        <w:t>tout</w:t>
      </w:r>
      <w:proofErr w:type="gramEnd"/>
      <w:r>
        <w:t xml:space="preserve"> autre élément que le jury estime utile comme, le cas échéant, le protocole d’aménagements raisonnables ou le protocole d’intégration. Le cas échéant, l’enseignant concerné analyse l’épreuve et prend en compte les éléments non réussis en raison du/des trouble(s). Les feuilles « Analyse » et « Bilan » des grilles d’encodage peuvent l’y aider. Lors des délibérations du conseil de classe, cette analyse est exploitée pour prendre la décision la plus appropriée pour chaque élève en situation d’échec.</w:t>
      </w:r>
    </w:p>
    <w:p w14:paraId="2F1568E0" w14:textId="1F715084" w:rsidR="00A03158" w:rsidRDefault="004A3A20" w:rsidP="004A3A20">
      <w:r>
        <w:t>Les conditions de réussite prévues par le règlement des études du pouvoir organisateur restent pleinement d’application sauf en cas de décision ultérieure du gouvernement.</w:t>
      </w:r>
    </w:p>
    <w:p w14:paraId="592A88BB" w14:textId="77777777" w:rsidR="00A03158" w:rsidRDefault="00A03158">
      <w:pPr>
        <w:spacing w:after="160" w:line="259" w:lineRule="auto"/>
        <w:jc w:val="left"/>
      </w:pPr>
      <w:r>
        <w:br w:type="page"/>
      </w:r>
    </w:p>
    <w:p w14:paraId="6365246A" w14:textId="77777777" w:rsidR="004A3A20" w:rsidRDefault="004A3A20" w:rsidP="004A3A20">
      <w:pPr>
        <w:pStyle w:val="Titre1"/>
      </w:pPr>
      <w:r>
        <w:lastRenderedPageBreak/>
        <w:t>Aménagement raisonnable des épreuves pour les élèves à besoins spécifiques</w:t>
      </w:r>
    </w:p>
    <w:p w14:paraId="3A32E032" w14:textId="77777777" w:rsidR="004A3A20" w:rsidRDefault="004A3A20" w:rsidP="004A3A20">
      <w:r>
        <w:t xml:space="preserve">Les élèves qui présentent des </w:t>
      </w:r>
      <w:r>
        <w:rPr>
          <w:b/>
          <w:bCs/>
        </w:rPr>
        <w:t>besoins spécifiques</w:t>
      </w:r>
      <w:r>
        <w:t xml:space="preserve"> peuvent bénéficier d’aménagements lors des</w:t>
      </w:r>
      <w:r>
        <w:rPr>
          <w:b/>
          <w:bCs/>
        </w:rPr>
        <w:t xml:space="preserve"> épreuves externes</w:t>
      </w:r>
      <w:r>
        <w:t xml:space="preserve"> selon des modalités particulières.</w:t>
      </w:r>
    </w:p>
    <w:p w14:paraId="4CCFACB0" w14:textId="77777777" w:rsidR="004A3A20" w:rsidRDefault="004A3A20" w:rsidP="004A3A20">
      <w:r>
        <w:t>Ces modalités particulières peuvent consister en :</w:t>
      </w:r>
    </w:p>
    <w:p w14:paraId="5620C390" w14:textId="77777777" w:rsidR="004A3A20" w:rsidRDefault="004A3A20" w:rsidP="004A3A20">
      <w:pPr>
        <w:pStyle w:val="Paragraphedeliste"/>
        <w:numPr>
          <w:ilvl w:val="0"/>
          <w:numId w:val="1"/>
        </w:numPr>
        <w:rPr>
          <w:rFonts w:eastAsia="Calibri"/>
        </w:rPr>
      </w:pPr>
      <w:proofErr w:type="gramStart"/>
      <w:r>
        <w:rPr>
          <w:rFonts w:eastAsia="Calibri"/>
        </w:rPr>
        <w:t>une</w:t>
      </w:r>
      <w:proofErr w:type="gramEnd"/>
      <w:r>
        <w:rPr>
          <w:rFonts w:eastAsia="Calibri"/>
        </w:rPr>
        <w:t xml:space="preserve"> adaptation de la présentation de l’épreuve ;</w:t>
      </w:r>
    </w:p>
    <w:p w14:paraId="41FB4D2B" w14:textId="77777777" w:rsidR="004A3A20" w:rsidRDefault="004A3A20" w:rsidP="004A3A20">
      <w:pPr>
        <w:pStyle w:val="Paragraphedeliste"/>
        <w:numPr>
          <w:ilvl w:val="0"/>
          <w:numId w:val="1"/>
        </w:numPr>
        <w:rPr>
          <w:rFonts w:eastAsia="Calibri"/>
        </w:rPr>
      </w:pPr>
      <w:proofErr w:type="gramStart"/>
      <w:r>
        <w:rPr>
          <w:rFonts w:eastAsia="Calibri"/>
        </w:rPr>
        <w:t>l’aménagement</w:t>
      </w:r>
      <w:proofErr w:type="gramEnd"/>
      <w:r>
        <w:rPr>
          <w:rFonts w:eastAsia="Calibri"/>
        </w:rPr>
        <w:t xml:space="preserve"> des conditions de passation.</w:t>
      </w:r>
    </w:p>
    <w:p w14:paraId="02AB0AE4" w14:textId="2121C231" w:rsidR="004A3A20" w:rsidRPr="004A3A20" w:rsidRDefault="004A3A20" w:rsidP="004A3A20">
      <w:r>
        <w:t>Ces adaptations et les conditions de leur mise en application sont détaillées au point F de la circulaire d’organisation.</w:t>
      </w:r>
    </w:p>
    <w:p w14:paraId="433353DB" w14:textId="77777777" w:rsidR="004A3A20" w:rsidRPr="004A3A20" w:rsidRDefault="004A3A20" w:rsidP="004A3A20"/>
    <w:p w14:paraId="5909C94F" w14:textId="77777777" w:rsidR="004A3A20" w:rsidRPr="004A3A20" w:rsidRDefault="004A3A20" w:rsidP="004A3A20"/>
    <w:p w14:paraId="37897294" w14:textId="77777777" w:rsidR="004A3A20" w:rsidRPr="004A3A20" w:rsidRDefault="004A3A20" w:rsidP="004A3A20"/>
    <w:p w14:paraId="4CF90D99" w14:textId="77777777" w:rsidR="004A3A20" w:rsidRPr="004A3A20" w:rsidRDefault="004A3A20" w:rsidP="004A3A20"/>
    <w:p w14:paraId="4ADE1D78" w14:textId="77777777" w:rsidR="004A3A20" w:rsidRPr="004A3A20" w:rsidRDefault="004A3A20" w:rsidP="004A3A20"/>
    <w:p w14:paraId="72ECF544" w14:textId="77777777" w:rsidR="004A3A20" w:rsidRPr="004A3A20" w:rsidRDefault="004A3A20" w:rsidP="004A3A20"/>
    <w:p w14:paraId="58ACC56D" w14:textId="77777777" w:rsidR="004A3A20" w:rsidRPr="004A3A20" w:rsidRDefault="004A3A20" w:rsidP="004A3A20"/>
    <w:p w14:paraId="76108915" w14:textId="77777777" w:rsidR="004A3A20" w:rsidRPr="004A3A20" w:rsidRDefault="004A3A20" w:rsidP="004A3A20"/>
    <w:p w14:paraId="7504BAFC" w14:textId="77777777" w:rsidR="004A3A20" w:rsidRPr="004A3A20" w:rsidRDefault="004A3A20" w:rsidP="004A3A20"/>
    <w:p w14:paraId="280D8A16" w14:textId="77777777" w:rsidR="004A3A20" w:rsidRPr="004A3A20" w:rsidRDefault="004A3A20" w:rsidP="004A3A20"/>
    <w:p w14:paraId="3BC6B6AA" w14:textId="77777777" w:rsidR="004A3A20" w:rsidRPr="004A3A20" w:rsidRDefault="004A3A20" w:rsidP="004A3A20"/>
    <w:p w14:paraId="167FA3DA" w14:textId="77777777" w:rsidR="004A3A20" w:rsidRPr="004A3A20" w:rsidRDefault="004A3A20" w:rsidP="004A3A20"/>
    <w:p w14:paraId="392C58C5" w14:textId="77777777" w:rsidR="004A3A20" w:rsidRPr="004A3A20" w:rsidRDefault="004A3A20" w:rsidP="004A3A20"/>
    <w:p w14:paraId="0A787892" w14:textId="77777777" w:rsidR="004A3A20" w:rsidRPr="004A3A20" w:rsidRDefault="004A3A20" w:rsidP="004A3A20"/>
    <w:p w14:paraId="4BE77DD4" w14:textId="77777777" w:rsidR="004A3A20" w:rsidRPr="004A3A20" w:rsidRDefault="004A3A20" w:rsidP="004A3A20"/>
    <w:p w14:paraId="5E28DF7C" w14:textId="77777777" w:rsidR="004A3A20" w:rsidRPr="004A3A20" w:rsidRDefault="004A3A20" w:rsidP="004A3A20"/>
    <w:p w14:paraId="1FEC31FF" w14:textId="77777777" w:rsidR="004A3A20" w:rsidRPr="004A3A20" w:rsidRDefault="004A3A20" w:rsidP="004A3A20"/>
    <w:p w14:paraId="0BE2DA17" w14:textId="77777777" w:rsidR="004A3A20" w:rsidRPr="004A3A20" w:rsidRDefault="004A3A20" w:rsidP="004A3A20"/>
    <w:p w14:paraId="4A27689B" w14:textId="77777777" w:rsidR="004A3A20" w:rsidRPr="004A3A20" w:rsidRDefault="004A3A20" w:rsidP="004A3A20"/>
    <w:p w14:paraId="395D40CF" w14:textId="77777777" w:rsidR="004A3A20" w:rsidRPr="004A3A20" w:rsidRDefault="004A3A20" w:rsidP="004A3A20"/>
    <w:p w14:paraId="1C033D2D" w14:textId="77777777" w:rsidR="004A3A20" w:rsidRPr="004A3A20" w:rsidRDefault="004A3A20" w:rsidP="004A3A20"/>
    <w:p w14:paraId="3934A6B9" w14:textId="77777777" w:rsidR="004A3A20" w:rsidRPr="004A3A20" w:rsidRDefault="004A3A20" w:rsidP="004A3A20"/>
    <w:p w14:paraId="1F7172D4" w14:textId="77777777" w:rsidR="004A3A20" w:rsidRPr="004A3A20" w:rsidRDefault="004A3A20" w:rsidP="004A3A20"/>
    <w:p w14:paraId="17A95B87" w14:textId="77777777" w:rsidR="004A3A20" w:rsidRPr="004A3A20" w:rsidRDefault="004A3A20" w:rsidP="004A3A20"/>
    <w:p w14:paraId="5D950654" w14:textId="77777777" w:rsidR="004A3A20" w:rsidRDefault="004A3A20" w:rsidP="004A3A20"/>
    <w:sectPr w:rsidR="004A3A20" w:rsidSect="004A3A20">
      <w:footerReference w:type="default" r:id="rId10"/>
      <w:headerReference w:type="first" r:id="rId11"/>
      <w:footerReference w:type="first" r:id="rId12"/>
      <w:pgSz w:w="11906" w:h="16838"/>
      <w:pgMar w:top="1418" w:right="1134" w:bottom="851"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D2856" w14:textId="77777777" w:rsidR="004A3A20" w:rsidRDefault="004A3A20" w:rsidP="004A3A20">
      <w:pPr>
        <w:spacing w:after="0" w:line="240" w:lineRule="auto"/>
      </w:pPr>
      <w:r>
        <w:separator/>
      </w:r>
    </w:p>
  </w:endnote>
  <w:endnote w:type="continuationSeparator" w:id="0">
    <w:p w14:paraId="0FEB235B" w14:textId="77777777" w:rsidR="004A3A20" w:rsidRDefault="004A3A20" w:rsidP="004A3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12960" w14:textId="490CDC37" w:rsidR="00A31D9E" w:rsidRDefault="00A31D9E">
    <w:pPr>
      <w:pStyle w:val="Pieddepage"/>
    </w:pPr>
    <w:r>
      <w:rPr>
        <w:rFonts w:cs="Calibri"/>
      </w:rPr>
      <w:t xml:space="preserve"> </w:t>
    </w:r>
    <w:r>
      <w:ptab w:relativeTo="margin" w:alignment="center" w:leader="none"/>
    </w:r>
    <w:r>
      <w:ptab w:relativeTo="margin" w:alignment="right" w:leader="none"/>
    </w:r>
    <w:r>
      <w:t xml:space="preserve">Circulaire CE1D-CESS 2025 – </w:t>
    </w:r>
    <w:r>
      <w:rPr>
        <w:b/>
      </w:rPr>
      <w:t xml:space="preserve">ANNEXE </w:t>
    </w:r>
    <w:r w:rsidR="004A3A20">
      <w:rPr>
        <w:b/>
      </w:rPr>
      <w:t>G</w:t>
    </w:r>
    <w:r>
      <w:rPr>
        <w:b/>
      </w:rPr>
      <w:t xml:space="preserve"> </w:t>
    </w:r>
    <w:r>
      <w:t>– p.</w:t>
    </w:r>
    <w:r>
      <w:rPr>
        <w:rFonts w:cs="Calibri"/>
      </w:rPr>
      <w:fldChar w:fldCharType="begin"/>
    </w:r>
    <w:r>
      <w:rPr>
        <w:rFonts w:cs="Calibri"/>
      </w:rPr>
      <w:instrText>PAGE   \* MERGEFORMAT</w:instrText>
    </w:r>
    <w:r>
      <w:rPr>
        <w:rFonts w:cs="Calibri"/>
      </w:rPr>
      <w:fldChar w:fldCharType="separate"/>
    </w:r>
    <w:r>
      <w:rPr>
        <w:rFonts w:cs="Calibri"/>
        <w:noProof/>
      </w:rPr>
      <w:t>3</w:t>
    </w:r>
    <w:r>
      <w:rPr>
        <w:rFonts w:cs="Calibr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9894659"/>
      <w:docPartObj>
        <w:docPartGallery w:val="Page Numbers (Bottom of Page)"/>
        <w:docPartUnique/>
      </w:docPartObj>
    </w:sdtPr>
    <w:sdtEndPr/>
    <w:sdtContent>
      <w:p w14:paraId="41841D6F" w14:textId="7AEF429B" w:rsidR="00A31D9E" w:rsidRDefault="00A31D9E">
        <w:pPr>
          <w:pStyle w:val="Pieddepage"/>
        </w:pPr>
        <w:r>
          <w:t xml:space="preserve"> </w:t>
        </w:r>
        <w:r>
          <w:ptab w:relativeTo="margin" w:alignment="center" w:leader="none"/>
        </w:r>
        <w:r>
          <w:ptab w:relativeTo="margin" w:alignment="right" w:leader="none"/>
        </w:r>
        <w:r>
          <w:t xml:space="preserve">Circulaire CE1D-CESS 2025 - </w:t>
        </w:r>
        <w:r>
          <w:rPr>
            <w:b/>
          </w:rPr>
          <w:t xml:space="preserve">ANNEXE </w:t>
        </w:r>
        <w:r w:rsidR="001C71F4">
          <w:rPr>
            <w:b/>
          </w:rPr>
          <w:t>G</w:t>
        </w:r>
        <w:r>
          <w:rPr>
            <w:b/>
          </w:rPr>
          <w:t xml:space="preserve"> –</w:t>
        </w:r>
        <w:r>
          <w:t xml:space="preserve"> p.</w:t>
        </w:r>
        <w:r>
          <w:fldChar w:fldCharType="begin"/>
        </w:r>
        <w:r>
          <w:instrText>PAGE   \* MERGEFORMAT</w:instrText>
        </w:r>
        <w:r>
          <w:fldChar w:fldCharType="separate"/>
        </w:r>
        <w:r>
          <w:rPr>
            <w:noProof/>
          </w:rPr>
          <w:t>1</w:t>
        </w:r>
        <w:r>
          <w:fldChar w:fldCharType="end"/>
        </w:r>
      </w:p>
    </w:sdtContent>
  </w:sdt>
  <w:p w14:paraId="0469F369" w14:textId="77777777" w:rsidR="00A31D9E" w:rsidRDefault="00A31D9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8A25A" w14:textId="77777777" w:rsidR="004A3A20" w:rsidRDefault="004A3A20" w:rsidP="004A3A20">
      <w:pPr>
        <w:spacing w:after="0" w:line="240" w:lineRule="auto"/>
      </w:pPr>
      <w:r>
        <w:separator/>
      </w:r>
    </w:p>
  </w:footnote>
  <w:footnote w:type="continuationSeparator" w:id="0">
    <w:p w14:paraId="69DEFF32" w14:textId="77777777" w:rsidR="004A3A20" w:rsidRDefault="004A3A20" w:rsidP="004A3A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9B7BE" w14:textId="7D7338B6" w:rsidR="00A31D9E" w:rsidRDefault="00A31D9E">
    <w:pPr>
      <w:pStyle w:val="En-tte"/>
      <w:jc w:val="right"/>
      <w:rPr>
        <w:b/>
      </w:rPr>
    </w:pPr>
    <w:r>
      <w:rPr>
        <w:noProof/>
        <w:lang w:val="fr-BE" w:eastAsia="fr-BE"/>
      </w:rPr>
      <w:drawing>
        <wp:anchor distT="0" distB="0" distL="114300" distR="114300" simplePos="0" relativeHeight="251659264" behindDoc="0" locked="0" layoutInCell="1" allowOverlap="1" wp14:anchorId="280894C4" wp14:editId="6C3FE55D">
          <wp:simplePos x="0" y="0"/>
          <wp:positionH relativeFrom="margin">
            <wp:align>left</wp:align>
          </wp:positionH>
          <wp:positionV relativeFrom="paragraph">
            <wp:posOffset>-221730</wp:posOffset>
          </wp:positionV>
          <wp:extent cx="2886911" cy="609600"/>
          <wp:effectExtent l="0" t="0" r="8890" b="0"/>
          <wp:wrapNone/>
          <wp:docPr id="3" name="Image 3" descr="C:\Users\vossem01\AppData\Local\Microsoft\Windows\INetCache\Content.Word\logo-ens-hori-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ossem01\AppData\Local\Microsoft\Windows\INetCache\Content.Word\logo-ens-hori-RV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86911" cy="609600"/>
                  </a:xfrm>
                  <a:prstGeom prst="rect">
                    <a:avLst/>
                  </a:prstGeom>
                  <a:noFill/>
                  <a:ln>
                    <a:noFill/>
                  </a:ln>
                </pic:spPr>
              </pic:pic>
            </a:graphicData>
          </a:graphic>
          <wp14:sizeRelH relativeFrom="margin">
            <wp14:pctWidth>0</wp14:pctWidth>
          </wp14:sizeRelH>
          <wp14:sizeRelV relativeFrom="margin">
            <wp14:pctHeight>0</wp14:pctHeight>
          </wp14:sizeRelV>
        </wp:anchor>
      </w:drawing>
    </w:r>
    <w:r>
      <w:t>Circulaire CE1D-CESS 2025</w:t>
    </w:r>
    <w:r w:rsidR="001C71F4">
      <w:t xml:space="preserve"> </w:t>
    </w:r>
    <w:r>
      <w:rPr>
        <w:rFonts w:eastAsiaTheme="minorHAnsi"/>
        <w:lang w:val="fr-BE" w:eastAsia="en-US"/>
      </w:rPr>
      <w:t>–</w:t>
    </w:r>
    <w:r>
      <w:t xml:space="preserve"> </w:t>
    </w:r>
    <w:r>
      <w:rPr>
        <w:b/>
      </w:rPr>
      <w:t xml:space="preserve">ANNEXE </w:t>
    </w:r>
    <w:r w:rsidR="004A3A20">
      <w:rPr>
        <w:b/>
      </w:rPr>
      <w:t>G</w:t>
    </w:r>
  </w:p>
  <w:p w14:paraId="41FAA03B" w14:textId="77777777" w:rsidR="00A31D9E" w:rsidRDefault="00A31D9E">
    <w:pPr>
      <w:spacing w:after="0"/>
      <w:jc w:val="right"/>
    </w:pPr>
  </w:p>
  <w:p w14:paraId="46E1D7B7" w14:textId="77777777" w:rsidR="00A31D9E" w:rsidRDefault="00A31D9E">
    <w:pPr>
      <w:spacing w:after="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4C65C0"/>
    <w:multiLevelType w:val="hybridMultilevel"/>
    <w:tmpl w:val="96F6040A"/>
    <w:lvl w:ilvl="0" w:tplc="F810004A">
      <w:numFmt w:val="bullet"/>
      <w:lvlText w:val="-"/>
      <w:lvlJc w:val="left"/>
      <w:pPr>
        <w:ind w:left="712" w:hanging="360"/>
      </w:pPr>
      <w:rPr>
        <w:rFonts w:ascii="Calibri" w:eastAsia="Calibri" w:hAnsi="Calibri" w:cs="Calibri" w:hint="default"/>
      </w:rPr>
    </w:lvl>
    <w:lvl w:ilvl="1" w:tplc="080C0003" w:tentative="1">
      <w:start w:val="1"/>
      <w:numFmt w:val="bullet"/>
      <w:lvlText w:val="o"/>
      <w:lvlJc w:val="left"/>
      <w:pPr>
        <w:ind w:left="1432" w:hanging="360"/>
      </w:pPr>
      <w:rPr>
        <w:rFonts w:ascii="Courier New" w:hAnsi="Courier New" w:cs="Courier New" w:hint="default"/>
      </w:rPr>
    </w:lvl>
    <w:lvl w:ilvl="2" w:tplc="080C0005" w:tentative="1">
      <w:start w:val="1"/>
      <w:numFmt w:val="bullet"/>
      <w:lvlText w:val=""/>
      <w:lvlJc w:val="left"/>
      <w:pPr>
        <w:ind w:left="2152" w:hanging="360"/>
      </w:pPr>
      <w:rPr>
        <w:rFonts w:ascii="Wingdings" w:hAnsi="Wingdings" w:hint="default"/>
      </w:rPr>
    </w:lvl>
    <w:lvl w:ilvl="3" w:tplc="080C0001" w:tentative="1">
      <w:start w:val="1"/>
      <w:numFmt w:val="bullet"/>
      <w:lvlText w:val=""/>
      <w:lvlJc w:val="left"/>
      <w:pPr>
        <w:ind w:left="2872" w:hanging="360"/>
      </w:pPr>
      <w:rPr>
        <w:rFonts w:ascii="Symbol" w:hAnsi="Symbol" w:hint="default"/>
      </w:rPr>
    </w:lvl>
    <w:lvl w:ilvl="4" w:tplc="080C0003" w:tentative="1">
      <w:start w:val="1"/>
      <w:numFmt w:val="bullet"/>
      <w:lvlText w:val="o"/>
      <w:lvlJc w:val="left"/>
      <w:pPr>
        <w:ind w:left="3592" w:hanging="360"/>
      </w:pPr>
      <w:rPr>
        <w:rFonts w:ascii="Courier New" w:hAnsi="Courier New" w:cs="Courier New" w:hint="default"/>
      </w:rPr>
    </w:lvl>
    <w:lvl w:ilvl="5" w:tplc="080C0005" w:tentative="1">
      <w:start w:val="1"/>
      <w:numFmt w:val="bullet"/>
      <w:lvlText w:val=""/>
      <w:lvlJc w:val="left"/>
      <w:pPr>
        <w:ind w:left="4312" w:hanging="360"/>
      </w:pPr>
      <w:rPr>
        <w:rFonts w:ascii="Wingdings" w:hAnsi="Wingdings" w:hint="default"/>
      </w:rPr>
    </w:lvl>
    <w:lvl w:ilvl="6" w:tplc="080C0001" w:tentative="1">
      <w:start w:val="1"/>
      <w:numFmt w:val="bullet"/>
      <w:lvlText w:val=""/>
      <w:lvlJc w:val="left"/>
      <w:pPr>
        <w:ind w:left="5032" w:hanging="360"/>
      </w:pPr>
      <w:rPr>
        <w:rFonts w:ascii="Symbol" w:hAnsi="Symbol" w:hint="default"/>
      </w:rPr>
    </w:lvl>
    <w:lvl w:ilvl="7" w:tplc="080C0003" w:tentative="1">
      <w:start w:val="1"/>
      <w:numFmt w:val="bullet"/>
      <w:lvlText w:val="o"/>
      <w:lvlJc w:val="left"/>
      <w:pPr>
        <w:ind w:left="5752" w:hanging="360"/>
      </w:pPr>
      <w:rPr>
        <w:rFonts w:ascii="Courier New" w:hAnsi="Courier New" w:cs="Courier New" w:hint="default"/>
      </w:rPr>
    </w:lvl>
    <w:lvl w:ilvl="8" w:tplc="080C0005" w:tentative="1">
      <w:start w:val="1"/>
      <w:numFmt w:val="bullet"/>
      <w:lvlText w:val=""/>
      <w:lvlJc w:val="left"/>
      <w:pPr>
        <w:ind w:left="6472" w:hanging="360"/>
      </w:pPr>
      <w:rPr>
        <w:rFonts w:ascii="Wingdings" w:hAnsi="Wingdings" w:hint="default"/>
      </w:rPr>
    </w:lvl>
  </w:abstractNum>
  <w:abstractNum w:abstractNumId="1" w15:restartNumberingAfterBreak="0">
    <w:nsid w:val="5C7C4815"/>
    <w:multiLevelType w:val="hybridMultilevel"/>
    <w:tmpl w:val="456CC9CC"/>
    <w:lvl w:ilvl="0" w:tplc="25B04F1E">
      <w:start w:val="1"/>
      <w:numFmt w:val="upperLetter"/>
      <w:pStyle w:val="Titre1"/>
      <w:lvlText w:val="%1."/>
      <w:lvlJc w:val="left"/>
      <w:pPr>
        <w:ind w:left="720" w:hanging="360"/>
      </w:pPr>
      <w:rPr>
        <w:rFonts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16cid:durableId="329988732">
    <w:abstractNumId w:val="0"/>
  </w:num>
  <w:num w:numId="2" w16cid:durableId="795681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A20"/>
    <w:rsid w:val="001C71F4"/>
    <w:rsid w:val="004A3A20"/>
    <w:rsid w:val="00612233"/>
    <w:rsid w:val="00A03158"/>
    <w:rsid w:val="00A31D9E"/>
    <w:rsid w:val="00BC4910"/>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57EAD"/>
  <w15:chartTrackingRefBased/>
  <w15:docId w15:val="{23D000D0-9B70-47BD-88D7-59D7695FD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A20"/>
    <w:pPr>
      <w:spacing w:after="120" w:line="288" w:lineRule="auto"/>
      <w:jc w:val="both"/>
    </w:pPr>
    <w:rPr>
      <w:rFonts w:ascii="Arial" w:eastAsia="Times New Roman" w:hAnsi="Arial" w:cs="Arial"/>
      <w:color w:val="000000"/>
      <w:kern w:val="0"/>
      <w:sz w:val="20"/>
      <w:szCs w:val="20"/>
      <w:lang w:val="fr-FR" w:eastAsia="fr-FR"/>
      <w14:ligatures w14:val="none"/>
    </w:rPr>
  </w:style>
  <w:style w:type="paragraph" w:styleId="Titre1">
    <w:name w:val="heading 1"/>
    <w:basedOn w:val="Normal"/>
    <w:next w:val="Normal"/>
    <w:link w:val="Titre1Car"/>
    <w:autoRedefine/>
    <w:qFormat/>
    <w:rsid w:val="004A3A20"/>
    <w:pPr>
      <w:keepNext/>
      <w:numPr>
        <w:numId w:val="2"/>
      </w:numPr>
      <w:spacing w:before="480" w:after="360"/>
      <w:outlineLvl w:val="0"/>
    </w:pPr>
    <w:rPr>
      <w:rFonts w:cs="Times New Roman"/>
      <w:b/>
      <w:bCs/>
      <w:color w:val="auto"/>
      <w:kern w:val="32"/>
      <w:sz w:val="24"/>
      <w:szCs w:val="32"/>
      <w:u w:val="single"/>
      <w:lang w:val="fr-BE"/>
    </w:rPr>
  </w:style>
  <w:style w:type="paragraph" w:styleId="Titre4">
    <w:name w:val="heading 4"/>
    <w:basedOn w:val="Normal"/>
    <w:next w:val="Normal"/>
    <w:link w:val="Titre4Car"/>
    <w:uiPriority w:val="9"/>
    <w:qFormat/>
    <w:rsid w:val="004A3A20"/>
    <w:pPr>
      <w:keepNext/>
      <w:spacing w:before="240" w:after="60"/>
      <w:outlineLvl w:val="3"/>
    </w:pPr>
    <w:rPr>
      <w:rFonts w:cstheme="minorHAnsi"/>
      <w:b/>
      <w:bCs/>
      <w:i/>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A3A20"/>
    <w:rPr>
      <w:rFonts w:ascii="Arial" w:eastAsia="Times New Roman" w:hAnsi="Arial" w:cs="Times New Roman"/>
      <w:b/>
      <w:bCs/>
      <w:kern w:val="32"/>
      <w:sz w:val="24"/>
      <w:szCs w:val="32"/>
      <w:u w:val="single"/>
      <w:lang w:eastAsia="fr-FR"/>
      <w14:ligatures w14:val="none"/>
    </w:rPr>
  </w:style>
  <w:style w:type="character" w:customStyle="1" w:styleId="Titre4Car">
    <w:name w:val="Titre 4 Car"/>
    <w:basedOn w:val="Policepardfaut"/>
    <w:link w:val="Titre4"/>
    <w:uiPriority w:val="9"/>
    <w:rsid w:val="004A3A20"/>
    <w:rPr>
      <w:rFonts w:ascii="Arial" w:eastAsia="Times New Roman" w:hAnsi="Arial" w:cstheme="minorHAnsi"/>
      <w:b/>
      <w:bCs/>
      <w:i/>
      <w:color w:val="000000"/>
      <w:kern w:val="0"/>
      <w:sz w:val="20"/>
      <w:szCs w:val="28"/>
      <w:lang w:val="fr-FR" w:eastAsia="fr-FR"/>
      <w14:ligatures w14:val="none"/>
    </w:rPr>
  </w:style>
  <w:style w:type="paragraph" w:styleId="Pieddepage">
    <w:name w:val="footer"/>
    <w:basedOn w:val="Normal"/>
    <w:link w:val="PieddepageCar"/>
    <w:uiPriority w:val="99"/>
    <w:unhideWhenUsed/>
    <w:rsid w:val="004A3A2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A3A20"/>
    <w:rPr>
      <w:rFonts w:ascii="Arial" w:eastAsia="Times New Roman" w:hAnsi="Arial" w:cs="Arial"/>
      <w:color w:val="000000"/>
      <w:kern w:val="0"/>
      <w:sz w:val="20"/>
      <w:szCs w:val="20"/>
      <w:lang w:val="fr-FR" w:eastAsia="fr-FR"/>
      <w14:ligatures w14:val="none"/>
    </w:rPr>
  </w:style>
  <w:style w:type="paragraph" w:styleId="En-tte">
    <w:name w:val="header"/>
    <w:basedOn w:val="Normal"/>
    <w:link w:val="En-tteCar"/>
    <w:uiPriority w:val="99"/>
    <w:unhideWhenUsed/>
    <w:rsid w:val="004A3A20"/>
    <w:pPr>
      <w:tabs>
        <w:tab w:val="center" w:pos="4536"/>
        <w:tab w:val="right" w:pos="9072"/>
      </w:tabs>
      <w:spacing w:after="0" w:line="240" w:lineRule="auto"/>
    </w:pPr>
  </w:style>
  <w:style w:type="character" w:customStyle="1" w:styleId="En-tteCar">
    <w:name w:val="En-tête Car"/>
    <w:basedOn w:val="Policepardfaut"/>
    <w:link w:val="En-tte"/>
    <w:uiPriority w:val="99"/>
    <w:rsid w:val="004A3A20"/>
    <w:rPr>
      <w:rFonts w:ascii="Arial" w:eastAsia="Times New Roman" w:hAnsi="Arial" w:cs="Arial"/>
      <w:color w:val="000000"/>
      <w:kern w:val="0"/>
      <w:sz w:val="20"/>
      <w:szCs w:val="20"/>
      <w:lang w:val="fr-FR" w:eastAsia="fr-FR"/>
      <w14:ligatures w14:val="none"/>
    </w:rPr>
  </w:style>
  <w:style w:type="table" w:styleId="Grilledutableau">
    <w:name w:val="Table Grid"/>
    <w:basedOn w:val="TableauNormal"/>
    <w:uiPriority w:val="59"/>
    <w:rsid w:val="004A3A20"/>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A3A20"/>
    <w:pPr>
      <w:ind w:left="720"/>
      <w:contextualSpacing/>
    </w:pPr>
  </w:style>
  <w:style w:type="character" w:styleId="Lienhypertexte">
    <w:name w:val="Hyperlink"/>
    <w:basedOn w:val="Policepardfaut"/>
    <w:uiPriority w:val="99"/>
    <w:unhideWhenUsed/>
    <w:rsid w:val="004A3A20"/>
    <w:rPr>
      <w:color w:val="0563C1" w:themeColor="hyperlink"/>
      <w:u w:val="single"/>
    </w:rPr>
  </w:style>
  <w:style w:type="character" w:styleId="Mentionnonrsolue">
    <w:name w:val="Unresolved Mention"/>
    <w:basedOn w:val="Policepardfaut"/>
    <w:uiPriority w:val="99"/>
    <w:semiHidden/>
    <w:unhideWhenUsed/>
    <w:rsid w:val="004A3A20"/>
    <w:rPr>
      <w:color w:val="605E5C"/>
      <w:shd w:val="clear" w:color="auto" w:fill="E1DFDD"/>
    </w:rPr>
  </w:style>
  <w:style w:type="table" w:customStyle="1" w:styleId="Grilledutableau1">
    <w:name w:val="Grille du tableau1"/>
    <w:basedOn w:val="TableauNormal"/>
    <w:next w:val="Grilledutableau"/>
    <w:uiPriority w:val="59"/>
    <w:rsid w:val="004A3A20"/>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nseignement.be/cess"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enseignement.be/ces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768</Words>
  <Characters>4228</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BOST Mélanie</dc:creator>
  <cp:keywords/>
  <dc:description/>
  <cp:lastModifiedBy>VOSSEN Emilie</cp:lastModifiedBy>
  <cp:revision>3</cp:revision>
  <dcterms:created xsi:type="dcterms:W3CDTF">2025-01-17T13:49:00Z</dcterms:created>
  <dcterms:modified xsi:type="dcterms:W3CDTF">2025-01-17T14:12:00Z</dcterms:modified>
</cp:coreProperties>
</file>